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AA" w:rsidRDefault="00BF6F9A" w:rsidP="00BF6F9A">
      <w:r>
        <w:rPr>
          <w:noProof/>
          <w:lang w:eastAsia="en-GB"/>
        </w:rPr>
        <w:drawing>
          <wp:inline distT="0" distB="0" distL="0" distR="0" wp14:anchorId="3031CE9C" wp14:editId="01D00BA5">
            <wp:extent cx="1657350" cy="533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216" cy="54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40F3A">
        <w:tab/>
      </w:r>
      <w:r w:rsidR="00D40F3A">
        <w:tab/>
      </w:r>
      <w:r w:rsidR="00D40F3A">
        <w:tab/>
      </w:r>
      <w:r w:rsidR="00D40F3A">
        <w:tab/>
      </w:r>
      <w:r w:rsidR="00D40F3A">
        <w:tab/>
      </w:r>
      <w:r w:rsidR="00D40F3A">
        <w:tab/>
      </w:r>
      <w:r w:rsidR="00D40F3A">
        <w:tab/>
      </w:r>
      <w:r w:rsidR="00791470">
        <w:tab/>
      </w:r>
      <w:r w:rsidR="00791470">
        <w:tab/>
      </w:r>
      <w:r>
        <w:tab/>
      </w:r>
      <w:r>
        <w:rPr>
          <w:b/>
          <w:bCs/>
          <w:noProof/>
          <w:lang w:eastAsia="en-GB"/>
        </w:rPr>
        <w:drawing>
          <wp:inline distT="0" distB="0" distL="0" distR="0" wp14:anchorId="6373F9C2" wp14:editId="73416429">
            <wp:extent cx="2255795" cy="673100"/>
            <wp:effectExtent l="0" t="0" r="0" b="0"/>
            <wp:docPr id="1" name="Picture 1" descr="cid:image001.png@01D86521.B6EA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6521.B6EA1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24" cy="6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F3A">
        <w:tab/>
      </w:r>
    </w:p>
    <w:p w:rsidR="00BF6F9A" w:rsidRPr="0041132F" w:rsidRDefault="00BF6F9A" w:rsidP="00D40F3A">
      <w:pPr>
        <w:spacing w:after="0"/>
        <w:ind w:left="-454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41132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Contractor Incentive Site Assessment Form</w:t>
      </w:r>
      <w:r w:rsidR="00791470" w:rsidRPr="0041132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414C27" w:rsidRPr="0041132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(including </w:t>
      </w:r>
      <w:r w:rsidR="00791470" w:rsidRPr="0041132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Terms</w:t>
      </w:r>
      <w:r w:rsidR="00414C27" w:rsidRPr="0041132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and Conditions)</w:t>
      </w:r>
    </w:p>
    <w:p w:rsidR="00BF6F9A" w:rsidRDefault="00BF6F9A" w:rsidP="00BF6F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</w:p>
    <w:p w:rsidR="004128F5" w:rsidRDefault="004128F5" w:rsidP="00BF6F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Contractor Details</w:t>
      </w: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2411"/>
        <w:gridCol w:w="8080"/>
        <w:gridCol w:w="1134"/>
        <w:gridCol w:w="992"/>
        <w:gridCol w:w="2835"/>
      </w:tblGrid>
      <w:tr w:rsidR="0091424A" w:rsidRPr="0091424A" w:rsidTr="001E2884">
        <w:tc>
          <w:tcPr>
            <w:tcW w:w="2411" w:type="dxa"/>
          </w:tcPr>
          <w:p w:rsidR="0091424A" w:rsidRPr="0091424A" w:rsidRDefault="0091424A" w:rsidP="004128F5">
            <w:pPr>
              <w:rPr>
                <w:sz w:val="28"/>
                <w:szCs w:val="28"/>
              </w:rPr>
            </w:pPr>
            <w:r w:rsidRPr="0091424A">
              <w:rPr>
                <w:sz w:val="28"/>
                <w:szCs w:val="28"/>
              </w:rPr>
              <w:t>Name / Company:</w:t>
            </w:r>
          </w:p>
        </w:tc>
        <w:tc>
          <w:tcPr>
            <w:tcW w:w="8080" w:type="dxa"/>
          </w:tcPr>
          <w:p w:rsidR="0091424A" w:rsidRPr="0091424A" w:rsidRDefault="0091424A" w:rsidP="00E132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1424A" w:rsidRPr="0091424A" w:rsidRDefault="0091424A" w:rsidP="00E13203">
            <w:pPr>
              <w:rPr>
                <w:sz w:val="28"/>
                <w:szCs w:val="28"/>
              </w:rPr>
            </w:pPr>
            <w:r w:rsidRPr="0091424A">
              <w:rPr>
                <w:sz w:val="28"/>
                <w:szCs w:val="28"/>
              </w:rPr>
              <w:t>Date Submitted</w:t>
            </w:r>
          </w:p>
        </w:tc>
        <w:tc>
          <w:tcPr>
            <w:tcW w:w="2835" w:type="dxa"/>
          </w:tcPr>
          <w:p w:rsidR="0091424A" w:rsidRPr="0091424A" w:rsidRDefault="0091424A" w:rsidP="00E13203">
            <w:pPr>
              <w:rPr>
                <w:sz w:val="28"/>
                <w:szCs w:val="28"/>
              </w:rPr>
            </w:pPr>
          </w:p>
        </w:tc>
      </w:tr>
      <w:tr w:rsidR="004128F5" w:rsidRPr="0091424A" w:rsidTr="0091424A">
        <w:tc>
          <w:tcPr>
            <w:tcW w:w="2411" w:type="dxa"/>
          </w:tcPr>
          <w:p w:rsidR="004128F5" w:rsidRPr="0091424A" w:rsidRDefault="004128F5" w:rsidP="004128F5">
            <w:pPr>
              <w:rPr>
                <w:sz w:val="28"/>
                <w:szCs w:val="28"/>
              </w:rPr>
            </w:pPr>
            <w:r w:rsidRPr="0091424A">
              <w:rPr>
                <w:sz w:val="28"/>
                <w:szCs w:val="28"/>
              </w:rPr>
              <w:t>Address</w:t>
            </w:r>
          </w:p>
        </w:tc>
        <w:tc>
          <w:tcPr>
            <w:tcW w:w="13041" w:type="dxa"/>
            <w:gridSpan w:val="4"/>
          </w:tcPr>
          <w:p w:rsidR="004128F5" w:rsidRPr="0091424A" w:rsidRDefault="004128F5" w:rsidP="00E13203">
            <w:pPr>
              <w:rPr>
                <w:sz w:val="28"/>
                <w:szCs w:val="28"/>
              </w:rPr>
            </w:pPr>
          </w:p>
        </w:tc>
      </w:tr>
      <w:tr w:rsidR="00791470" w:rsidRPr="0091424A" w:rsidTr="001E2884">
        <w:tc>
          <w:tcPr>
            <w:tcW w:w="2411" w:type="dxa"/>
          </w:tcPr>
          <w:p w:rsidR="00791470" w:rsidRPr="0091424A" w:rsidRDefault="004128F5" w:rsidP="00E13203">
            <w:pPr>
              <w:rPr>
                <w:sz w:val="28"/>
                <w:szCs w:val="28"/>
              </w:rPr>
            </w:pPr>
            <w:r w:rsidRPr="0091424A">
              <w:rPr>
                <w:sz w:val="28"/>
                <w:szCs w:val="28"/>
              </w:rPr>
              <w:t>Email Address</w:t>
            </w:r>
          </w:p>
        </w:tc>
        <w:tc>
          <w:tcPr>
            <w:tcW w:w="8080" w:type="dxa"/>
          </w:tcPr>
          <w:p w:rsidR="00791470" w:rsidRPr="0091424A" w:rsidRDefault="00791470" w:rsidP="00E1320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470" w:rsidRPr="0091424A" w:rsidRDefault="004128F5" w:rsidP="00E13203">
            <w:pPr>
              <w:rPr>
                <w:sz w:val="28"/>
                <w:szCs w:val="28"/>
              </w:rPr>
            </w:pPr>
            <w:r w:rsidRPr="0091424A">
              <w:rPr>
                <w:sz w:val="28"/>
                <w:szCs w:val="28"/>
              </w:rPr>
              <w:t>Phone</w:t>
            </w:r>
          </w:p>
        </w:tc>
        <w:tc>
          <w:tcPr>
            <w:tcW w:w="3827" w:type="dxa"/>
            <w:gridSpan w:val="2"/>
          </w:tcPr>
          <w:p w:rsidR="00791470" w:rsidRPr="0091424A" w:rsidRDefault="00791470" w:rsidP="00E13203">
            <w:pPr>
              <w:rPr>
                <w:sz w:val="28"/>
                <w:szCs w:val="28"/>
              </w:rPr>
            </w:pPr>
          </w:p>
        </w:tc>
      </w:tr>
    </w:tbl>
    <w:p w:rsidR="004128F5" w:rsidRPr="00537506" w:rsidRDefault="004128F5" w:rsidP="004128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Assessed Sites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4536"/>
        <w:gridCol w:w="1984"/>
        <w:gridCol w:w="1418"/>
        <w:gridCol w:w="2126"/>
      </w:tblGrid>
      <w:tr w:rsidR="00BF6F9A" w:rsidRPr="004566D7" w:rsidTr="0091424A">
        <w:trPr>
          <w:trHeight w:hRule="exact"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Site 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MPAN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Generation Technology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Installed Generation Capacity (kW)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Compliance Declaration </w:t>
            </w:r>
            <w:r w:rsidR="003032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“</w:t>
            </w:r>
            <w:r w:rsidR="00E85B6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Site </w:t>
            </w:r>
            <w:r w:rsidRPr="004566D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Reference</w:t>
            </w:r>
            <w:r w:rsidR="003032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”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9A" w:rsidRPr="004566D7" w:rsidTr="0091424A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E13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9A" w:rsidRPr="004566D7" w:rsidRDefault="00BF6F9A" w:rsidP="00815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9A" w:rsidRPr="004566D7" w:rsidRDefault="00BF6F9A" w:rsidP="00E13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66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C504C" w:rsidRDefault="009C504C">
      <w:pPr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br w:type="page"/>
      </w:r>
    </w:p>
    <w:p w:rsidR="009C504C" w:rsidRPr="009C504C" w:rsidRDefault="009C504C" w:rsidP="00343D3B">
      <w:pPr>
        <w:spacing w:after="0"/>
        <w:ind w:left="-454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9C504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lastRenderedPageBreak/>
        <w:t>Terms and Conditions</w:t>
      </w:r>
    </w:p>
    <w:p w:rsidR="009C504C" w:rsidRDefault="009C504C" w:rsidP="00343D3B">
      <w:pPr>
        <w:spacing w:after="0"/>
        <w:ind w:left="-454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9C504C" w:rsidRDefault="009C504C" w:rsidP="00343D3B">
      <w:pPr>
        <w:spacing w:after="0"/>
        <w:ind w:left="-454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By submitting this form to Western Power Distribution</w:t>
      </w:r>
      <w:r w:rsidR="00E85B65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(WPD)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, you are accepting the following terms of participation in </w:t>
      </w:r>
      <w:r w:rsidR="001E0296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the Western Power Distribution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ALo</w:t>
      </w:r>
      <w:r w:rsidR="001E0296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MCP Contractor Incentive Scheme:</w:t>
      </w:r>
    </w:p>
    <w:p w:rsidR="001E0296" w:rsidRDefault="001E0296" w:rsidP="00343D3B">
      <w:pPr>
        <w:spacing w:after="0"/>
        <w:ind w:left="-454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263310" w:rsidRDefault="0068516F" w:rsidP="00263310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WPD will pay the contractor named on this form the sum of £500 (plus VAT) for a </w:t>
      </w:r>
      <w:r w:rsidRPr="001C73DF">
        <w:rPr>
          <w:rFonts w:ascii="Calibri" w:eastAsia="Times New Roman" w:hAnsi="Calibri" w:cs="Times New Roman"/>
          <w:b/>
          <w:bCs/>
          <w:i/>
          <w:color w:val="000000"/>
          <w:szCs w:val="28"/>
          <w:lang w:eastAsia="en-GB"/>
        </w:rPr>
        <w:t>satisfactory ALoMCP compliance declaration</w:t>
      </w:r>
      <w:r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for each of the sites listed </w:t>
      </w:r>
      <w:r w:rsidR="001C73DF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in the “Assessed Sites” table </w:t>
      </w:r>
      <w:r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above.</w:t>
      </w:r>
    </w:p>
    <w:p w:rsidR="0068516F" w:rsidRPr="00263310" w:rsidRDefault="0068516F" w:rsidP="00263310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A </w:t>
      </w:r>
      <w:r w:rsidR="001C73DF" w:rsidRPr="001C73DF">
        <w:rPr>
          <w:rFonts w:ascii="Calibri" w:eastAsia="Times New Roman" w:hAnsi="Calibri" w:cs="Times New Roman"/>
          <w:b/>
          <w:bCs/>
          <w:i/>
          <w:color w:val="000000"/>
          <w:szCs w:val="28"/>
          <w:lang w:eastAsia="en-GB"/>
        </w:rPr>
        <w:t>satisfactory ALoMCP compliance declaration</w:t>
      </w:r>
      <w:r w:rsidR="001C73DF"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</w:t>
      </w:r>
      <w:r w:rsidR="00263310"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for a site </w:t>
      </w:r>
      <w:r w:rsidR="007E2F00" w:rsidRP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is defined as follows:</w:t>
      </w:r>
    </w:p>
    <w:p w:rsidR="00263310" w:rsidRDefault="007E2F00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The site is a relevant site under the Accelerated Loss of Mains Change </w:t>
      </w:r>
      <w:r w:rsidR="00263310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Programme</w:t>
      </w:r>
      <w:r w:rsidR="00E3373D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(connected under G59, commissioned before February 2018)</w:t>
      </w:r>
    </w:p>
    <w:p w:rsidR="00263310" w:rsidRDefault="00263310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The site has not already been notified to WPD as compliant</w:t>
      </w:r>
    </w:p>
    <w:p w:rsidR="007E2F00" w:rsidRDefault="00263310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The site has not been the subject of a funding application under ALoMCP</w:t>
      </w:r>
    </w:p>
    <w:p w:rsidR="00263310" w:rsidRDefault="00263310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A compliance declaration has been completed via the ENA portal (</w:t>
      </w:r>
      <w:hyperlink r:id="rId10" w:history="1">
        <w:r w:rsidRPr="0076763E">
          <w:rPr>
            <w:rStyle w:val="Hyperlink"/>
            <w:rFonts w:ascii="Calibri" w:eastAsia="Times New Roman" w:hAnsi="Calibri" w:cs="Times New Roman"/>
            <w:bCs/>
            <w:szCs w:val="28"/>
            <w:lang w:eastAsia="en-GB"/>
          </w:rPr>
          <w:t>www.ena-eng.org/ALoMCP/index</w:t>
        </w:r>
      </w:hyperlink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) and the </w:t>
      </w:r>
      <w:r w:rsidR="00E85B65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compliance declaration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“Site Reference” allocated by the portal has been entered in the “Assessed Sites</w:t>
      </w:r>
      <w:proofErr w:type="gramStart"/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“ table</w:t>
      </w:r>
      <w:proofErr w:type="gramEnd"/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above.</w:t>
      </w:r>
    </w:p>
    <w:p w:rsidR="00EE5215" w:rsidRDefault="00EE5215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The contractor has permission from the generation site owner to gather information about their generation equipment, and permission to share this information with WPD in the form of a compliance declaration. This permission, in the form of </w:t>
      </w:r>
      <w:r w:rsidR="00291177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a completed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“Letter of Authority”</w:t>
      </w:r>
      <w:r w:rsidR="001E2884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(LoA),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must be uploaded on to the portal declaration</w:t>
      </w:r>
    </w:p>
    <w:p w:rsidR="00263310" w:rsidRDefault="00E85B65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Suitable evidence of compliance has been uploaded on to the portal declaration (</w:t>
      </w:r>
      <w:r w:rsidR="001C73DF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e.g.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test sheets for relays</w:t>
      </w:r>
      <w:r w:rsidR="00C173B7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;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</w:t>
      </w:r>
      <w:r w:rsidR="00C173B7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pictures </w:t>
      </w:r>
      <w:r w:rsidR="00C173B7" w:rsidRPr="00C173B7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or screen shots of relays showing make, model, serial number and compliant settings</w:t>
      </w:r>
      <w:r w:rsidR="00C173B7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;</w:t>
      </w:r>
      <w:r w:rsidR="00C173B7" w:rsidRPr="00C173B7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pictures of inverter labels showing make, model and serial number)</w:t>
      </w:r>
    </w:p>
    <w:p w:rsidR="00E85B65" w:rsidRDefault="00E85B65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The evidence uploaded to the portal by the contractor is assessed as acceptable by WPD</w:t>
      </w:r>
      <w:r w:rsidR="00FE1883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.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(</w:t>
      </w:r>
      <w:r w:rsidR="00FE1883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F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ollowing a successful assessment, </w:t>
      </w:r>
      <w:r w:rsidR="00FE1883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WPD will notify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the contractor to submit an invoice)</w:t>
      </w:r>
    </w:p>
    <w:p w:rsidR="00E85B65" w:rsidRDefault="00E85B65" w:rsidP="0026331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An invoice</w:t>
      </w:r>
      <w:r w:rsidR="00FE1883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,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showing the site name and compliance declaration site reference</w:t>
      </w:r>
      <w:r w:rsidR="00FE1883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,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is received by WPD</w:t>
      </w:r>
    </w:p>
    <w:p w:rsidR="001C73DF" w:rsidRDefault="001C73DF" w:rsidP="001C73DF">
      <w:p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1C73DF" w:rsidRPr="001C73DF" w:rsidRDefault="001C73DF" w:rsidP="001C73DF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All compliance declarations must be submitted, and evidence uploaded, b</w:t>
      </w:r>
      <w:r w:rsidR="001E2884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efore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</w:t>
      </w:r>
      <w:r w:rsidRPr="00FE1883">
        <w:rPr>
          <w:rFonts w:ascii="Calibri" w:eastAsia="Times New Roman" w:hAnsi="Calibri" w:cs="Times New Roman"/>
          <w:b/>
          <w:bCs/>
          <w:color w:val="000000"/>
          <w:szCs w:val="28"/>
          <w:lang w:eastAsia="en-GB"/>
        </w:rPr>
        <w:t>midnight on 31/08/2022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as access to the ENA portal will cease at this time. No further compliance declarations can be accepted after this</w:t>
      </w:r>
      <w:r w:rsidR="001E2884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 deadline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. Any compliance declarations that have not had </w:t>
      </w:r>
      <w:r w:rsidR="001E2884"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 xml:space="preserve">LoA and </w:t>
      </w:r>
      <w:r>
        <w:rPr>
          <w:rFonts w:ascii="Calibri" w:eastAsia="Times New Roman" w:hAnsi="Calibri" w:cs="Times New Roman"/>
          <w:bCs/>
          <w:color w:val="000000"/>
          <w:szCs w:val="28"/>
          <w:lang w:eastAsia="en-GB"/>
        </w:rPr>
        <w:t>suitable evidence uploaded by this deadline will not be able to be completed.</w:t>
      </w:r>
    </w:p>
    <w:p w:rsidR="001C73DF" w:rsidRPr="001C73DF" w:rsidRDefault="001C73DF" w:rsidP="001C73DF">
      <w:pPr>
        <w:spacing w:after="0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1E0296" w:rsidRDefault="001E0296" w:rsidP="00343D3B">
      <w:pPr>
        <w:spacing w:after="0"/>
        <w:ind w:left="-454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767C25" w:rsidRDefault="00767C25" w:rsidP="00343D3B">
      <w:pPr>
        <w:spacing w:after="0"/>
        <w:ind w:left="-454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767C25" w:rsidRDefault="00767C25" w:rsidP="00343D3B">
      <w:pPr>
        <w:spacing w:after="0"/>
        <w:ind w:left="-454"/>
        <w:rPr>
          <w:rFonts w:ascii="Calibri" w:eastAsia="Times New Roman" w:hAnsi="Calibri" w:cs="Times New Roman"/>
          <w:bCs/>
          <w:color w:val="000000"/>
          <w:szCs w:val="28"/>
          <w:lang w:eastAsia="en-GB"/>
        </w:rPr>
      </w:pPr>
    </w:p>
    <w:p w:rsidR="00BF6F9A" w:rsidRPr="00767C25" w:rsidRDefault="00BF6F9A" w:rsidP="00343D3B">
      <w:pPr>
        <w:spacing w:after="0"/>
        <w:ind w:left="-454"/>
        <w:rPr>
          <w:rFonts w:ascii="Calibri" w:eastAsia="Times New Roman" w:hAnsi="Calibri" w:cs="Times New Roman"/>
          <w:b/>
          <w:bCs/>
          <w:color w:val="000000"/>
          <w:szCs w:val="28"/>
          <w:lang w:eastAsia="en-GB"/>
        </w:rPr>
      </w:pPr>
      <w:r w:rsidRPr="00767C25">
        <w:rPr>
          <w:rFonts w:ascii="Calibri" w:eastAsia="Times New Roman" w:hAnsi="Calibri" w:cs="Times New Roman"/>
          <w:b/>
          <w:bCs/>
          <w:color w:val="000000"/>
          <w:szCs w:val="28"/>
          <w:lang w:eastAsia="en-GB"/>
        </w:rPr>
        <w:t>Compliance Checklist (For internal use only)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813"/>
        <w:gridCol w:w="2268"/>
      </w:tblGrid>
      <w:tr w:rsidR="00455FDF" w:rsidTr="00343D3B">
        <w:tc>
          <w:tcPr>
            <w:tcW w:w="5813" w:type="dxa"/>
          </w:tcPr>
          <w:p w:rsidR="00455FDF" w:rsidRDefault="007B65F3">
            <w:r>
              <w:t>Assessed By:</w:t>
            </w:r>
          </w:p>
        </w:tc>
        <w:tc>
          <w:tcPr>
            <w:tcW w:w="2268" w:type="dxa"/>
          </w:tcPr>
          <w:p w:rsidR="00455FDF" w:rsidRDefault="007B65F3" w:rsidP="007B65F3">
            <w:r>
              <w:t>Date:</w:t>
            </w:r>
          </w:p>
        </w:tc>
      </w:tr>
      <w:tr w:rsidR="00D42524" w:rsidTr="00343D3B">
        <w:tc>
          <w:tcPr>
            <w:tcW w:w="5813" w:type="dxa"/>
          </w:tcPr>
          <w:p w:rsidR="00D42524" w:rsidRPr="00455FDF" w:rsidRDefault="00D42524" w:rsidP="00D42524">
            <w:r w:rsidRPr="00455FDF">
              <w:t>CI Batch Ref Applied</w:t>
            </w:r>
          </w:p>
        </w:tc>
        <w:tc>
          <w:tcPr>
            <w:tcW w:w="2268" w:type="dxa"/>
          </w:tcPr>
          <w:p w:rsidR="00D42524" w:rsidRDefault="00D42524" w:rsidP="00D42524">
            <w:pPr>
              <w:jc w:val="center"/>
            </w:pPr>
            <w:r w:rsidRPr="00771496">
              <w:t>Y/N</w:t>
            </w:r>
          </w:p>
        </w:tc>
      </w:tr>
      <w:tr w:rsidR="00D42524" w:rsidTr="00343D3B">
        <w:tc>
          <w:tcPr>
            <w:tcW w:w="5813" w:type="dxa"/>
          </w:tcPr>
          <w:p w:rsidR="00D42524" w:rsidRDefault="00FE1883" w:rsidP="00767C25">
            <w:r>
              <w:t xml:space="preserve">Portal declaration – </w:t>
            </w:r>
            <w:r w:rsidR="00767C25">
              <w:t>I</w:t>
            </w:r>
            <w:r>
              <w:t>nfo complete</w:t>
            </w:r>
          </w:p>
        </w:tc>
        <w:tc>
          <w:tcPr>
            <w:tcW w:w="2268" w:type="dxa"/>
          </w:tcPr>
          <w:p w:rsidR="00D42524" w:rsidRDefault="00D42524" w:rsidP="00D42524">
            <w:pPr>
              <w:jc w:val="center"/>
            </w:pPr>
            <w:r w:rsidRPr="00771496">
              <w:t>Y/N</w:t>
            </w:r>
          </w:p>
        </w:tc>
      </w:tr>
      <w:tr w:rsidR="00FE1883" w:rsidTr="0075212A">
        <w:tc>
          <w:tcPr>
            <w:tcW w:w="5813" w:type="dxa"/>
          </w:tcPr>
          <w:p w:rsidR="00FE1883" w:rsidRDefault="00767C25" w:rsidP="00767C25">
            <w:r>
              <w:t>P</w:t>
            </w:r>
            <w:r w:rsidR="00FE1883">
              <w:t>ortal declaration</w:t>
            </w:r>
            <w:r>
              <w:t xml:space="preserve"> – LoA uploaded</w:t>
            </w:r>
          </w:p>
        </w:tc>
        <w:tc>
          <w:tcPr>
            <w:tcW w:w="2268" w:type="dxa"/>
          </w:tcPr>
          <w:p w:rsidR="00FE1883" w:rsidRDefault="00FE1883" w:rsidP="0075212A">
            <w:pPr>
              <w:jc w:val="center"/>
            </w:pPr>
            <w:r w:rsidRPr="00771496">
              <w:t>Y/N</w:t>
            </w:r>
          </w:p>
        </w:tc>
      </w:tr>
      <w:tr w:rsidR="00767C25" w:rsidTr="00343D3B">
        <w:tc>
          <w:tcPr>
            <w:tcW w:w="5813" w:type="dxa"/>
          </w:tcPr>
          <w:p w:rsidR="00767C25" w:rsidRDefault="00767C25" w:rsidP="00767C25">
            <w:r>
              <w:t>portal declaration - Evidence uploaded</w:t>
            </w:r>
          </w:p>
        </w:tc>
        <w:tc>
          <w:tcPr>
            <w:tcW w:w="2268" w:type="dxa"/>
          </w:tcPr>
          <w:p w:rsidR="00767C25" w:rsidRDefault="00767C25" w:rsidP="00767C25">
            <w:pPr>
              <w:jc w:val="center"/>
            </w:pPr>
            <w:r w:rsidRPr="00771496">
              <w:t>Y/N</w:t>
            </w:r>
          </w:p>
        </w:tc>
      </w:tr>
    </w:tbl>
    <w:p w:rsidR="00414C27" w:rsidRDefault="00414C27" w:rsidP="00D039F6"/>
    <w:sectPr w:rsidR="00414C27" w:rsidSect="004F59C3">
      <w:footerReference w:type="default" r:id="rId11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C3" w:rsidRDefault="004F59C3" w:rsidP="004F59C3">
      <w:pPr>
        <w:spacing w:after="0" w:line="240" w:lineRule="auto"/>
      </w:pPr>
      <w:r>
        <w:separator/>
      </w:r>
    </w:p>
  </w:endnote>
  <w:endnote w:type="continuationSeparator" w:id="0">
    <w:p w:rsidR="004F59C3" w:rsidRDefault="004F59C3" w:rsidP="004F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C3" w:rsidRDefault="004F59C3">
    <w:pPr>
      <w:pStyle w:val="Footer"/>
    </w:pPr>
    <w:fldSimple w:instr=" FILENAME   \* MERGEFORMAT ">
      <w:r>
        <w:rPr>
          <w:noProof/>
        </w:rPr>
        <w:t>CIS Site Assessment Form v.1.3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C3" w:rsidRDefault="004F59C3" w:rsidP="004F59C3">
      <w:pPr>
        <w:spacing w:after="0" w:line="240" w:lineRule="auto"/>
      </w:pPr>
      <w:r>
        <w:separator/>
      </w:r>
    </w:p>
  </w:footnote>
  <w:footnote w:type="continuationSeparator" w:id="0">
    <w:p w:rsidR="004F59C3" w:rsidRDefault="004F59C3" w:rsidP="004F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22E4"/>
    <w:multiLevelType w:val="hybridMultilevel"/>
    <w:tmpl w:val="1632C298"/>
    <w:lvl w:ilvl="0" w:tplc="BEAC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7B99"/>
    <w:multiLevelType w:val="hybridMultilevel"/>
    <w:tmpl w:val="E398FA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F4846"/>
    <w:multiLevelType w:val="hybridMultilevel"/>
    <w:tmpl w:val="20466260"/>
    <w:lvl w:ilvl="0" w:tplc="54744C1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" w15:restartNumberingAfterBreak="0">
    <w:nsid w:val="75A459AD"/>
    <w:multiLevelType w:val="hybridMultilevel"/>
    <w:tmpl w:val="3260F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A"/>
    <w:rsid w:val="001C73DF"/>
    <w:rsid w:val="001E0296"/>
    <w:rsid w:val="001E2884"/>
    <w:rsid w:val="00263310"/>
    <w:rsid w:val="00291177"/>
    <w:rsid w:val="003032AB"/>
    <w:rsid w:val="00343D3B"/>
    <w:rsid w:val="00392443"/>
    <w:rsid w:val="0041132F"/>
    <w:rsid w:val="004128F5"/>
    <w:rsid w:val="00414C27"/>
    <w:rsid w:val="00455FDF"/>
    <w:rsid w:val="004F59C3"/>
    <w:rsid w:val="00596383"/>
    <w:rsid w:val="005A031A"/>
    <w:rsid w:val="0068516F"/>
    <w:rsid w:val="007201CD"/>
    <w:rsid w:val="00767C25"/>
    <w:rsid w:val="00791470"/>
    <w:rsid w:val="007B65F3"/>
    <w:rsid w:val="007E2F00"/>
    <w:rsid w:val="00815FE8"/>
    <w:rsid w:val="0091424A"/>
    <w:rsid w:val="00923F8D"/>
    <w:rsid w:val="00976088"/>
    <w:rsid w:val="009C504C"/>
    <w:rsid w:val="00A11C48"/>
    <w:rsid w:val="00BF6F9A"/>
    <w:rsid w:val="00C173B7"/>
    <w:rsid w:val="00C3429F"/>
    <w:rsid w:val="00C741AA"/>
    <w:rsid w:val="00D039F6"/>
    <w:rsid w:val="00D40F3A"/>
    <w:rsid w:val="00D42524"/>
    <w:rsid w:val="00E3373D"/>
    <w:rsid w:val="00E35B7F"/>
    <w:rsid w:val="00E85B65"/>
    <w:rsid w:val="00EE5215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5CF2"/>
  <w15:chartTrackingRefBased/>
  <w15:docId w15:val="{A88DDE77-9D58-4AB1-A49A-EB9CBEF3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1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3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C3"/>
  </w:style>
  <w:style w:type="paragraph" w:styleId="Footer">
    <w:name w:val="footer"/>
    <w:basedOn w:val="Normal"/>
    <w:link w:val="FooterChar"/>
    <w:uiPriority w:val="99"/>
    <w:unhideWhenUsed/>
    <w:rsid w:val="004F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a-eng.org/ALoMCP/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86521.B6EA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Alibhai, Shaz</dc:creator>
  <cp:keywords/>
  <dc:description/>
  <cp:lastModifiedBy>Cox, Andy</cp:lastModifiedBy>
  <cp:revision>4</cp:revision>
  <dcterms:created xsi:type="dcterms:W3CDTF">2022-05-25T09:33:00Z</dcterms:created>
  <dcterms:modified xsi:type="dcterms:W3CDTF">2022-05-25T11:06:00Z</dcterms:modified>
</cp:coreProperties>
</file>